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A" w:rsidRPr="00BB015A" w:rsidRDefault="00BB015A" w:rsidP="0015321D">
      <w:pPr>
        <w:rPr>
          <w:b/>
          <w:sz w:val="32"/>
          <w:szCs w:val="32"/>
        </w:rPr>
      </w:pPr>
      <w:bookmarkStart w:id="0" w:name="_GoBack"/>
      <w:bookmarkEnd w:id="0"/>
    </w:p>
    <w:p w:rsidR="00BB015A" w:rsidRPr="00BB015A" w:rsidRDefault="00BB015A" w:rsidP="00BB015A">
      <w:pPr>
        <w:pStyle w:val="Prrafodelista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OBJETIVO</w:t>
      </w:r>
    </w:p>
    <w:p w:rsidR="00A71C35" w:rsidRDefault="00A71C35" w:rsidP="00A71C35">
      <w:pPr>
        <w:jc w:val="both"/>
        <w:rPr>
          <w:sz w:val="32"/>
          <w:szCs w:val="32"/>
        </w:rPr>
      </w:pPr>
      <w:r>
        <w:rPr>
          <w:sz w:val="32"/>
          <w:szCs w:val="32"/>
        </w:rPr>
        <w:t>Con el objetivo de propiciar la integración de las actividades deportivas, culturales, cívicas y de promoción de la salud con las actividades de docencia, fomentando valores, actitudes, habilidades y conocimientos</w:t>
      </w:r>
      <w:r w:rsidR="00443319">
        <w:rPr>
          <w:sz w:val="32"/>
          <w:szCs w:val="32"/>
        </w:rPr>
        <w:t xml:space="preserve"> que contribuyan con los proceso</w:t>
      </w:r>
      <w:r>
        <w:rPr>
          <w:sz w:val="32"/>
          <w:szCs w:val="32"/>
        </w:rPr>
        <w:t>s de formación integral de los estudiantes de la Univ</w:t>
      </w:r>
      <w:r w:rsidR="00443319">
        <w:rPr>
          <w:sz w:val="32"/>
          <w:szCs w:val="32"/>
        </w:rPr>
        <w:t>ersidad Tecnológica de la Costa,</w:t>
      </w:r>
      <w:r>
        <w:rPr>
          <w:sz w:val="32"/>
          <w:szCs w:val="32"/>
        </w:rPr>
        <w:t xml:space="preserve"> </w:t>
      </w:r>
      <w:r w:rsidR="00443319">
        <w:rPr>
          <w:sz w:val="32"/>
          <w:szCs w:val="32"/>
        </w:rPr>
        <w:t>a</w:t>
      </w:r>
      <w:r>
        <w:rPr>
          <w:sz w:val="32"/>
          <w:szCs w:val="32"/>
        </w:rPr>
        <w:t xml:space="preserve">tendiendo principalmente el desarrollo de actividades </w:t>
      </w:r>
      <w:proofErr w:type="gramStart"/>
      <w:r>
        <w:rPr>
          <w:sz w:val="32"/>
          <w:szCs w:val="32"/>
        </w:rPr>
        <w:t>deportivas</w:t>
      </w:r>
      <w:proofErr w:type="gramEnd"/>
      <w:r>
        <w:rPr>
          <w:sz w:val="32"/>
          <w:szCs w:val="32"/>
        </w:rPr>
        <w:t>, culturales, artísticas, cívicas y de fomento a la vida saludable de nuestros estudiantes, a través de la práctica masiva desarrollada al interior de nuestra institución y generando los espacios y grupos de representación que participen al</w:t>
      </w:r>
      <w:r w:rsidR="00E47827">
        <w:rPr>
          <w:sz w:val="32"/>
          <w:szCs w:val="32"/>
        </w:rPr>
        <w:t xml:space="preserve"> exterior, realizamos las instrucciones de trabajo</w:t>
      </w:r>
      <w:r>
        <w:rPr>
          <w:sz w:val="32"/>
          <w:szCs w:val="32"/>
        </w:rPr>
        <w:t xml:space="preserve"> siguientes: </w:t>
      </w:r>
    </w:p>
    <w:p w:rsidR="00A71C35" w:rsidRPr="00A55FDA" w:rsidRDefault="003473A4" w:rsidP="00BB015A">
      <w:pPr>
        <w:pStyle w:val="Prrafodelista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ACTIVIDADES D</w:t>
      </w:r>
      <w:r w:rsidRPr="00A55FDA">
        <w:rPr>
          <w:b/>
          <w:sz w:val="32"/>
          <w:szCs w:val="32"/>
        </w:rPr>
        <w:t>EPOR</w:t>
      </w:r>
      <w:r>
        <w:rPr>
          <w:b/>
          <w:sz w:val="32"/>
          <w:szCs w:val="32"/>
        </w:rPr>
        <w:t xml:space="preserve">TIVAS Y CULTURALES. </w:t>
      </w:r>
    </w:p>
    <w:p w:rsidR="00A71C35" w:rsidRDefault="00A71C35" w:rsidP="00A71C35">
      <w:pPr>
        <w:jc w:val="both"/>
        <w:rPr>
          <w:sz w:val="32"/>
          <w:szCs w:val="32"/>
        </w:rPr>
      </w:pPr>
      <w:r>
        <w:rPr>
          <w:sz w:val="32"/>
          <w:szCs w:val="32"/>
        </w:rPr>
        <w:t>Las actividades deportivas</w:t>
      </w:r>
      <w:r w:rsidR="00F719EC">
        <w:rPr>
          <w:sz w:val="32"/>
          <w:szCs w:val="32"/>
        </w:rPr>
        <w:t xml:space="preserve"> </w:t>
      </w:r>
      <w:r w:rsidR="000D25C5">
        <w:rPr>
          <w:sz w:val="32"/>
          <w:szCs w:val="32"/>
        </w:rPr>
        <w:t xml:space="preserve">y culturales </w:t>
      </w:r>
      <w:r w:rsidR="00BB015A">
        <w:rPr>
          <w:sz w:val="32"/>
          <w:szCs w:val="32"/>
        </w:rPr>
        <w:t>se desarrollan</w:t>
      </w:r>
      <w:r w:rsidR="00F719EC">
        <w:rPr>
          <w:sz w:val="32"/>
          <w:szCs w:val="32"/>
        </w:rPr>
        <w:t xml:space="preserve"> al interior de la Institución en cuatro</w:t>
      </w:r>
      <w:r>
        <w:rPr>
          <w:sz w:val="32"/>
          <w:szCs w:val="32"/>
        </w:rPr>
        <w:t xml:space="preserve"> fases o etapas diferentes, siendo estas la fase masiva, la fase de integración de representativos</w:t>
      </w:r>
      <w:r w:rsidR="00F719EC">
        <w:rPr>
          <w:sz w:val="32"/>
          <w:szCs w:val="32"/>
        </w:rPr>
        <w:t xml:space="preserve">, </w:t>
      </w:r>
      <w:r>
        <w:rPr>
          <w:sz w:val="32"/>
          <w:szCs w:val="32"/>
        </w:rPr>
        <w:t>la fase de competitividad al exterior</w:t>
      </w:r>
      <w:r w:rsidR="00F719EC">
        <w:rPr>
          <w:sz w:val="32"/>
          <w:szCs w:val="32"/>
        </w:rPr>
        <w:t xml:space="preserve"> y la fase de promoción</w:t>
      </w:r>
      <w:r>
        <w:rPr>
          <w:sz w:val="32"/>
          <w:szCs w:val="32"/>
        </w:rPr>
        <w:t xml:space="preserve">; para lo cual realizamos las siguientes actividades, dejando evidencia de ellas a través del uso y </w:t>
      </w:r>
      <w:r w:rsidR="00A55FDA">
        <w:rPr>
          <w:sz w:val="32"/>
          <w:szCs w:val="32"/>
        </w:rPr>
        <w:t xml:space="preserve">control de registros y formatos. </w:t>
      </w:r>
    </w:p>
    <w:p w:rsidR="00C16BF9" w:rsidRDefault="00C16BF9" w:rsidP="00A71C35">
      <w:pPr>
        <w:jc w:val="both"/>
        <w:rPr>
          <w:sz w:val="32"/>
          <w:szCs w:val="32"/>
        </w:rPr>
      </w:pPr>
    </w:p>
    <w:p w:rsidR="00C16BF9" w:rsidRDefault="00C16BF9" w:rsidP="00A71C35">
      <w:pPr>
        <w:jc w:val="both"/>
        <w:rPr>
          <w:sz w:val="32"/>
          <w:szCs w:val="32"/>
        </w:rPr>
      </w:pPr>
    </w:p>
    <w:p w:rsidR="00C16BF9" w:rsidRDefault="00C16BF9" w:rsidP="00A71C35">
      <w:pPr>
        <w:jc w:val="both"/>
        <w:rPr>
          <w:sz w:val="32"/>
          <w:szCs w:val="32"/>
        </w:rPr>
      </w:pPr>
    </w:p>
    <w:p w:rsidR="0038755B" w:rsidRDefault="0038755B" w:rsidP="00A71C35">
      <w:pPr>
        <w:jc w:val="both"/>
        <w:rPr>
          <w:sz w:val="32"/>
          <w:szCs w:val="32"/>
        </w:rPr>
      </w:pPr>
    </w:p>
    <w:p w:rsidR="00E52F1B" w:rsidRDefault="00E52F1B" w:rsidP="00A71C35">
      <w:pPr>
        <w:jc w:val="both"/>
        <w:rPr>
          <w:sz w:val="32"/>
          <w:szCs w:val="32"/>
        </w:rPr>
      </w:pPr>
    </w:p>
    <w:p w:rsidR="00C16BF9" w:rsidRDefault="00A55FDA" w:rsidP="00C16BF9">
      <w:pPr>
        <w:pStyle w:val="Prrafodelista"/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 w:rsidRPr="00A55FDA">
        <w:rPr>
          <w:b/>
          <w:i/>
          <w:sz w:val="32"/>
          <w:szCs w:val="32"/>
        </w:rPr>
        <w:lastRenderedPageBreak/>
        <w:t xml:space="preserve">Etapa masiva: </w:t>
      </w:r>
    </w:p>
    <w:p w:rsidR="007E6528" w:rsidRPr="00C16BF9" w:rsidRDefault="000D25C5" w:rsidP="00C16BF9">
      <w:pPr>
        <w:jc w:val="both"/>
        <w:rPr>
          <w:b/>
          <w:i/>
          <w:sz w:val="32"/>
          <w:szCs w:val="32"/>
        </w:rPr>
      </w:pPr>
      <w:r w:rsidRPr="00C16BF9">
        <w:rPr>
          <w:sz w:val="32"/>
          <w:szCs w:val="32"/>
        </w:rPr>
        <w:t>S</w:t>
      </w:r>
      <w:r w:rsidR="00A55FDA" w:rsidRPr="00C16BF9">
        <w:rPr>
          <w:sz w:val="32"/>
          <w:szCs w:val="32"/>
        </w:rPr>
        <w:t xml:space="preserve">e genera al inicio del ciclo escolar a través de la convocatoria </w:t>
      </w:r>
      <w:r w:rsidR="00BB015A" w:rsidRPr="00C16BF9">
        <w:rPr>
          <w:sz w:val="32"/>
          <w:szCs w:val="32"/>
        </w:rPr>
        <w:t>a participar en los diferentes Torneos D</w:t>
      </w:r>
      <w:r w:rsidR="00A55FDA" w:rsidRPr="00C16BF9">
        <w:rPr>
          <w:sz w:val="32"/>
          <w:szCs w:val="32"/>
        </w:rPr>
        <w:t>eportivos</w:t>
      </w:r>
      <w:r w:rsidR="00BB015A" w:rsidRPr="00C16BF9">
        <w:rPr>
          <w:sz w:val="32"/>
          <w:szCs w:val="32"/>
        </w:rPr>
        <w:t xml:space="preserve"> y Concursos A</w:t>
      </w:r>
      <w:r w:rsidRPr="00C16BF9">
        <w:rPr>
          <w:sz w:val="32"/>
          <w:szCs w:val="32"/>
        </w:rPr>
        <w:t>rtísticos</w:t>
      </w:r>
      <w:r w:rsidR="00A55FDA" w:rsidRPr="00C16BF9">
        <w:rPr>
          <w:sz w:val="32"/>
          <w:szCs w:val="32"/>
        </w:rPr>
        <w:t xml:space="preserve"> que se llevan  cabo dentro al inicio del ciclo escolar y que culminan dentro de la Semana Cultural y Deportiva, con el objetivo de que los estudiantes cuenten con un espacio en donde puedan desarrollar las actividades deportivas</w:t>
      </w:r>
      <w:r w:rsidRPr="00C16BF9">
        <w:rPr>
          <w:sz w:val="32"/>
          <w:szCs w:val="32"/>
        </w:rPr>
        <w:t xml:space="preserve"> y artísticas</w:t>
      </w:r>
      <w:r w:rsidR="00A55FDA" w:rsidRPr="00C16BF9">
        <w:rPr>
          <w:sz w:val="32"/>
          <w:szCs w:val="32"/>
        </w:rPr>
        <w:t xml:space="preserve"> de su agrado, contemplando las disciplinas de; atletismo (pruebas de campo, pista y resistencia) baloncesto, fútbol soccer, ping-pong, ajedrez</w:t>
      </w:r>
      <w:r w:rsidR="000E1094" w:rsidRPr="00C16BF9">
        <w:rPr>
          <w:sz w:val="32"/>
          <w:szCs w:val="32"/>
        </w:rPr>
        <w:t xml:space="preserve"> y concursos de oratoria, canto, baile, tablas rítmicas, dibujo, </w:t>
      </w:r>
      <w:r w:rsidR="00A55FDA" w:rsidRPr="00C16BF9">
        <w:rPr>
          <w:sz w:val="32"/>
          <w:szCs w:val="32"/>
        </w:rPr>
        <w:t xml:space="preserve"> entre otras. </w:t>
      </w:r>
    </w:p>
    <w:p w:rsidR="00965792" w:rsidRDefault="004357ED" w:rsidP="00965792">
      <w:pPr>
        <w:pStyle w:val="Prrafodelista"/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 w:rsidRPr="004357ED">
        <w:rPr>
          <w:b/>
          <w:i/>
          <w:sz w:val="32"/>
          <w:szCs w:val="32"/>
        </w:rPr>
        <w:t xml:space="preserve">Etapa de conformación de grupos representativos </w:t>
      </w:r>
    </w:p>
    <w:p w:rsidR="00436128" w:rsidRDefault="00965792" w:rsidP="00C16BF9">
      <w:pPr>
        <w:jc w:val="both"/>
        <w:rPr>
          <w:sz w:val="32"/>
          <w:szCs w:val="32"/>
        </w:rPr>
      </w:pPr>
      <w:r>
        <w:rPr>
          <w:sz w:val="32"/>
          <w:szCs w:val="32"/>
        </w:rPr>
        <w:t>La etapa masiva trae como consecuencia la detección de talentos deportivos</w:t>
      </w:r>
      <w:r w:rsidR="000E1094">
        <w:rPr>
          <w:sz w:val="32"/>
          <w:szCs w:val="32"/>
        </w:rPr>
        <w:t xml:space="preserve"> y artísticos</w:t>
      </w:r>
      <w:r>
        <w:rPr>
          <w:sz w:val="32"/>
          <w:szCs w:val="32"/>
        </w:rPr>
        <w:t xml:space="preserve"> en áreas específicas, con el o</w:t>
      </w:r>
      <w:r w:rsidR="004B0636">
        <w:rPr>
          <w:sz w:val="32"/>
          <w:szCs w:val="32"/>
        </w:rPr>
        <w:t>bjetivo de</w:t>
      </w:r>
      <w:r>
        <w:rPr>
          <w:sz w:val="32"/>
          <w:szCs w:val="32"/>
        </w:rPr>
        <w:t xml:space="preserve"> </w:t>
      </w:r>
      <w:r w:rsidR="004B0636">
        <w:rPr>
          <w:sz w:val="32"/>
          <w:szCs w:val="32"/>
        </w:rPr>
        <w:t>(</w:t>
      </w:r>
      <w:r>
        <w:rPr>
          <w:sz w:val="32"/>
          <w:szCs w:val="32"/>
        </w:rPr>
        <w:t>previa convocatoria</w:t>
      </w:r>
      <w:r w:rsidR="004B0636">
        <w:rPr>
          <w:sz w:val="32"/>
          <w:szCs w:val="32"/>
        </w:rPr>
        <w:t>) iniciar los trabajos de integración y preparación  de los diferentes selectivos</w:t>
      </w:r>
      <w:r w:rsidR="000E1094">
        <w:rPr>
          <w:sz w:val="32"/>
          <w:szCs w:val="32"/>
        </w:rPr>
        <w:t xml:space="preserve"> y grupos de representación</w:t>
      </w:r>
      <w:r w:rsidR="004B0636">
        <w:rPr>
          <w:sz w:val="32"/>
          <w:szCs w:val="32"/>
        </w:rPr>
        <w:t>, los cuales tendrán a bien representarnos en los Encuentros Deportivos</w:t>
      </w:r>
      <w:r w:rsidR="000E1094">
        <w:rPr>
          <w:sz w:val="32"/>
          <w:szCs w:val="32"/>
        </w:rPr>
        <w:t xml:space="preserve"> y Culturales </w:t>
      </w:r>
      <w:r w:rsidR="004B0636">
        <w:rPr>
          <w:sz w:val="32"/>
          <w:szCs w:val="32"/>
        </w:rPr>
        <w:t xml:space="preserve"> Regionales y Nacionales que Son organizados por la CGUT (Coordinación General de Universidades Tecnológicas)  a través del Comité Técnico del Deporte en Universidades Tecnológicas. </w:t>
      </w:r>
      <w:r w:rsidR="000E1094">
        <w:rPr>
          <w:sz w:val="32"/>
          <w:szCs w:val="32"/>
        </w:rPr>
        <w:t>P</w:t>
      </w:r>
      <w:r w:rsidR="00CC5F8A">
        <w:rPr>
          <w:sz w:val="32"/>
          <w:szCs w:val="32"/>
        </w:rPr>
        <w:t>eriodo en el cual se planean y llevan a cabo un programa integral de entrenamientos, partidos de preparación</w:t>
      </w:r>
      <w:r w:rsidR="00436128">
        <w:rPr>
          <w:sz w:val="32"/>
          <w:szCs w:val="32"/>
        </w:rPr>
        <w:t>, ensayos</w:t>
      </w:r>
      <w:r w:rsidR="00CC5F8A">
        <w:rPr>
          <w:sz w:val="32"/>
          <w:szCs w:val="32"/>
        </w:rPr>
        <w:t xml:space="preserve"> y demás actividades con el propósito de que los integrantes del mismo, estimulen y</w:t>
      </w:r>
      <w:r w:rsidR="00C16BF9">
        <w:rPr>
          <w:sz w:val="32"/>
          <w:szCs w:val="32"/>
        </w:rPr>
        <w:t xml:space="preserve"> </w:t>
      </w:r>
      <w:r w:rsidR="00CC5F8A">
        <w:rPr>
          <w:sz w:val="32"/>
          <w:szCs w:val="32"/>
        </w:rPr>
        <w:t>aumenten sus capacidades condicionales y coordinativas así como las técnico-tácticas.</w:t>
      </w:r>
    </w:p>
    <w:p w:rsidR="00C16BF9" w:rsidRDefault="00CC5F8A" w:rsidP="00E52F1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C5F8A" w:rsidRDefault="00CC5F8A" w:rsidP="00CC5F8A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c) Etapa Competitiva</w:t>
      </w:r>
    </w:p>
    <w:p w:rsidR="00436128" w:rsidRDefault="00CC5F8A" w:rsidP="00C16BF9">
      <w:pPr>
        <w:jc w:val="both"/>
        <w:rPr>
          <w:sz w:val="32"/>
          <w:szCs w:val="32"/>
        </w:rPr>
      </w:pPr>
      <w:r>
        <w:rPr>
          <w:sz w:val="32"/>
          <w:szCs w:val="32"/>
        </w:rPr>
        <w:t>La tercera etapa contempla</w:t>
      </w:r>
      <w:r w:rsidR="00E814AF">
        <w:rPr>
          <w:sz w:val="32"/>
          <w:szCs w:val="32"/>
        </w:rPr>
        <w:t xml:space="preserve"> la participación de </w:t>
      </w:r>
      <w:r>
        <w:rPr>
          <w:sz w:val="32"/>
          <w:szCs w:val="32"/>
        </w:rPr>
        <w:t xml:space="preserve"> los </w:t>
      </w:r>
      <w:r w:rsidR="00E814AF">
        <w:rPr>
          <w:sz w:val="32"/>
          <w:szCs w:val="32"/>
        </w:rPr>
        <w:t>diferentes selectivos</w:t>
      </w:r>
      <w:r>
        <w:rPr>
          <w:sz w:val="32"/>
          <w:szCs w:val="32"/>
        </w:rPr>
        <w:t xml:space="preserve"> primeramente en el Encuentro Deportivo Regional de Universidades Tecnológicas; el cual da el pase al Encuentro Deportivo Nacional de Universidades Tecnológicas</w:t>
      </w:r>
      <w:r w:rsidR="00DB1D34">
        <w:rPr>
          <w:sz w:val="32"/>
          <w:szCs w:val="32"/>
        </w:rPr>
        <w:t>.</w:t>
      </w:r>
    </w:p>
    <w:p w:rsidR="00223738" w:rsidRDefault="00223738" w:rsidP="00223738">
      <w:pPr>
        <w:ind w:left="360"/>
        <w:jc w:val="both"/>
        <w:rPr>
          <w:sz w:val="32"/>
          <w:szCs w:val="32"/>
        </w:rPr>
      </w:pPr>
    </w:p>
    <w:p w:rsidR="007B0015" w:rsidRDefault="00C16BF9" w:rsidP="00CC5F8A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d) Etapa de Promoción D</w:t>
      </w:r>
      <w:r w:rsidR="00917DA7">
        <w:rPr>
          <w:b/>
          <w:sz w:val="32"/>
          <w:szCs w:val="32"/>
        </w:rPr>
        <w:t xml:space="preserve">eportiva </w:t>
      </w:r>
    </w:p>
    <w:p w:rsidR="0038755B" w:rsidRDefault="00917DA7" w:rsidP="00CD0275">
      <w:pPr>
        <w:jc w:val="both"/>
        <w:rPr>
          <w:sz w:val="32"/>
          <w:szCs w:val="32"/>
        </w:rPr>
      </w:pPr>
      <w:r w:rsidRPr="00917DA7">
        <w:rPr>
          <w:sz w:val="32"/>
          <w:szCs w:val="32"/>
        </w:rPr>
        <w:t>En</w:t>
      </w:r>
      <w:r w:rsidR="00BD6E97">
        <w:rPr>
          <w:sz w:val="32"/>
          <w:szCs w:val="32"/>
        </w:rPr>
        <w:t xml:space="preserve"> esta etapa</w:t>
      </w:r>
      <w:r>
        <w:rPr>
          <w:sz w:val="32"/>
          <w:szCs w:val="32"/>
        </w:rPr>
        <w:t xml:space="preserve"> se organizan encuentros deportivos con bachilleratos, como estrategia</w:t>
      </w:r>
      <w:r w:rsidR="00BD6E97">
        <w:rPr>
          <w:sz w:val="32"/>
          <w:szCs w:val="32"/>
        </w:rPr>
        <w:t xml:space="preserve"> para mantener los selectivos integrados y  a la vez como parte de la campaña de difusión y promoción del modelo educativo se llevan a cabo encuentros deportivos con selectivos de los diferentes bachilleratos de la zona de influencia de la institución, de la misma manera se contempla la participación en los Torneos</w:t>
      </w:r>
      <w:r w:rsidR="00F719EC">
        <w:rPr>
          <w:sz w:val="32"/>
          <w:szCs w:val="32"/>
        </w:rPr>
        <w:t xml:space="preserve"> deportivos </w:t>
      </w:r>
      <w:r w:rsidR="00BD6E97">
        <w:rPr>
          <w:sz w:val="32"/>
          <w:szCs w:val="32"/>
        </w:rPr>
        <w:t xml:space="preserve"> Municipales</w:t>
      </w:r>
      <w:r w:rsidR="00F719EC">
        <w:rPr>
          <w:sz w:val="32"/>
          <w:szCs w:val="32"/>
        </w:rPr>
        <w:t>.</w:t>
      </w:r>
      <w:r w:rsidR="00436128">
        <w:rPr>
          <w:sz w:val="32"/>
          <w:szCs w:val="32"/>
        </w:rPr>
        <w:t xml:space="preserve"> De la misma manera se vincula con las diferentes dependencias de gobierno estatal y municipal, así como los comités de acción ciudadana para gestionar foros en festivales culturales en  donde los grupos artísticos de la institución se presenten. </w:t>
      </w:r>
      <w:r w:rsidR="00F719EC">
        <w:rPr>
          <w:sz w:val="32"/>
          <w:szCs w:val="32"/>
        </w:rPr>
        <w:t xml:space="preserve"> </w:t>
      </w:r>
    </w:p>
    <w:p w:rsidR="00436128" w:rsidRPr="00BB015A" w:rsidRDefault="003473A4" w:rsidP="00BB015A">
      <w:pPr>
        <w:pStyle w:val="Prrafodelista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BB015A">
        <w:rPr>
          <w:b/>
          <w:sz w:val="32"/>
          <w:szCs w:val="32"/>
        </w:rPr>
        <w:t xml:space="preserve">FORMATOS Y REGISTROS </w:t>
      </w:r>
    </w:p>
    <w:p w:rsidR="00436128" w:rsidRDefault="00436128" w:rsidP="00C16BF9">
      <w:pPr>
        <w:jc w:val="both"/>
        <w:rPr>
          <w:sz w:val="32"/>
          <w:szCs w:val="32"/>
        </w:rPr>
      </w:pPr>
      <w:r w:rsidRPr="00223738">
        <w:rPr>
          <w:sz w:val="32"/>
          <w:szCs w:val="32"/>
        </w:rPr>
        <w:t xml:space="preserve">Para </w:t>
      </w:r>
      <w:r w:rsidR="00223738">
        <w:rPr>
          <w:sz w:val="32"/>
          <w:szCs w:val="32"/>
        </w:rPr>
        <w:t>llevar el debido</w:t>
      </w:r>
      <w:r w:rsidRPr="00223738">
        <w:rPr>
          <w:sz w:val="32"/>
          <w:szCs w:val="32"/>
        </w:rPr>
        <w:t xml:space="preserve"> control, registro, seguimiento y constancia de que cada una de las etapas </w:t>
      </w:r>
      <w:r w:rsidR="00CD0275">
        <w:rPr>
          <w:sz w:val="32"/>
          <w:szCs w:val="32"/>
        </w:rPr>
        <w:t>se lleva a cabo,</w:t>
      </w:r>
      <w:r w:rsidR="00223738">
        <w:rPr>
          <w:sz w:val="32"/>
          <w:szCs w:val="32"/>
        </w:rPr>
        <w:t xml:space="preserve"> se manejan los siguientes formatos: </w:t>
      </w:r>
    </w:p>
    <w:p w:rsidR="00223738" w:rsidRPr="00C14E69" w:rsidRDefault="00223738" w:rsidP="00436128">
      <w:pPr>
        <w:ind w:left="360"/>
        <w:jc w:val="both"/>
        <w:rPr>
          <w:b/>
          <w:sz w:val="32"/>
          <w:szCs w:val="32"/>
        </w:rPr>
      </w:pPr>
    </w:p>
    <w:p w:rsidR="002A5E97" w:rsidRPr="00C14E69" w:rsidRDefault="00223738" w:rsidP="00223738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4E69">
        <w:rPr>
          <w:b/>
          <w:sz w:val="32"/>
          <w:szCs w:val="32"/>
        </w:rPr>
        <w:t>Encuesta Cultural y Deportiva:</w:t>
      </w:r>
    </w:p>
    <w:p w:rsidR="002A5E97" w:rsidRPr="00C16BF9" w:rsidRDefault="002A5E97" w:rsidP="00C16BF9">
      <w:pPr>
        <w:jc w:val="both"/>
        <w:rPr>
          <w:sz w:val="32"/>
          <w:szCs w:val="32"/>
        </w:rPr>
      </w:pPr>
      <w:r w:rsidRPr="00C16BF9">
        <w:rPr>
          <w:sz w:val="32"/>
          <w:szCs w:val="32"/>
        </w:rPr>
        <w:t>Formato</w:t>
      </w:r>
      <w:r w:rsidR="00223738" w:rsidRPr="00C16BF9">
        <w:rPr>
          <w:sz w:val="32"/>
          <w:szCs w:val="32"/>
        </w:rPr>
        <w:t xml:space="preserve"> mediante el cual se mide el grado de interés de las actividades deportivas y culturales, con el propósito de tener un </w:t>
      </w:r>
      <w:r w:rsidR="00223738" w:rsidRPr="00C16BF9">
        <w:rPr>
          <w:sz w:val="32"/>
          <w:szCs w:val="32"/>
        </w:rPr>
        <w:lastRenderedPageBreak/>
        <w:t xml:space="preserve">pronóstico de aquellas actividades nuevas que pudieran tener éxito y aquellas que dé inicio no cuentan con el interés de los estudiantes, el debido control de este documento nos apoyará para tomar decisiones respecto a las actividades que se ofertarán en el ciclo que inicia. </w:t>
      </w:r>
    </w:p>
    <w:p w:rsidR="00CD0275" w:rsidRDefault="005106B5" w:rsidP="00C14E69">
      <w:pPr>
        <w:jc w:val="both"/>
        <w:rPr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3D0B559" wp14:editId="05E2BDF6">
            <wp:extent cx="5562600" cy="331524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518" t="27470" r="21249" b="9741"/>
                    <a:stretch/>
                  </pic:blipFill>
                  <pic:spPr bwMode="auto">
                    <a:xfrm>
                      <a:off x="0" y="0"/>
                      <a:ext cx="5569684" cy="331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55B" w:rsidRDefault="0038755B" w:rsidP="00C14E69">
      <w:pPr>
        <w:jc w:val="both"/>
        <w:rPr>
          <w:sz w:val="32"/>
          <w:szCs w:val="32"/>
        </w:rPr>
      </w:pPr>
    </w:p>
    <w:p w:rsidR="00E52F1B" w:rsidRPr="00C14E69" w:rsidRDefault="00E52F1B" w:rsidP="00C14E69">
      <w:pPr>
        <w:jc w:val="both"/>
        <w:rPr>
          <w:sz w:val="32"/>
          <w:szCs w:val="32"/>
        </w:rPr>
      </w:pPr>
    </w:p>
    <w:p w:rsidR="002A5E97" w:rsidRPr="00270741" w:rsidRDefault="002A5E97" w:rsidP="002A5E97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70741">
        <w:rPr>
          <w:b/>
          <w:sz w:val="32"/>
          <w:szCs w:val="32"/>
        </w:rPr>
        <w:t xml:space="preserve">Cedula de inscripción a actividades extracurriculares: </w:t>
      </w:r>
    </w:p>
    <w:p w:rsidR="00270741" w:rsidRPr="003473A4" w:rsidRDefault="002A5E97" w:rsidP="003473A4">
      <w:pPr>
        <w:jc w:val="both"/>
        <w:rPr>
          <w:sz w:val="32"/>
          <w:szCs w:val="32"/>
        </w:rPr>
      </w:pPr>
      <w:r w:rsidRPr="003473A4">
        <w:rPr>
          <w:sz w:val="32"/>
          <w:szCs w:val="32"/>
        </w:rPr>
        <w:t xml:space="preserve">Formato </w:t>
      </w:r>
      <w:r w:rsidR="00270741" w:rsidRPr="003473A4">
        <w:rPr>
          <w:sz w:val="32"/>
          <w:szCs w:val="32"/>
        </w:rPr>
        <w:t xml:space="preserve">que llenan </w:t>
      </w:r>
      <w:r w:rsidRPr="003473A4">
        <w:rPr>
          <w:sz w:val="32"/>
          <w:szCs w:val="32"/>
        </w:rPr>
        <w:t xml:space="preserve">los estudiantes que tienen interés </w:t>
      </w:r>
      <w:r w:rsidR="00270741" w:rsidRPr="003473A4">
        <w:rPr>
          <w:sz w:val="32"/>
          <w:szCs w:val="32"/>
        </w:rPr>
        <w:t xml:space="preserve">en realizar alguna actividad extracurricular, desde la participación en un concurso o torneo interno, taller o selectivo deportivo o grupo artístico, el cual nos sirve para alimentar una base de datos, crear listas, y tener el control de participación en actividades. </w:t>
      </w:r>
    </w:p>
    <w:p w:rsidR="00270741" w:rsidRDefault="00270741" w:rsidP="002A5E97">
      <w:pPr>
        <w:pStyle w:val="Prrafodelista"/>
        <w:ind w:left="1080"/>
        <w:jc w:val="both"/>
        <w:rPr>
          <w:b/>
          <w:sz w:val="32"/>
          <w:szCs w:val="32"/>
        </w:rPr>
      </w:pPr>
    </w:p>
    <w:p w:rsidR="00C14E69" w:rsidRDefault="00C14E69" w:rsidP="002A5E97">
      <w:pPr>
        <w:pStyle w:val="Prrafodelista"/>
        <w:ind w:left="1080"/>
        <w:jc w:val="both"/>
        <w:rPr>
          <w:b/>
          <w:sz w:val="32"/>
          <w:szCs w:val="32"/>
        </w:rPr>
      </w:pPr>
    </w:p>
    <w:p w:rsidR="005106B5" w:rsidRDefault="005106B5" w:rsidP="002A5E97">
      <w:pPr>
        <w:pStyle w:val="Prrafodelista"/>
        <w:ind w:left="1080"/>
        <w:jc w:val="both"/>
        <w:rPr>
          <w:b/>
          <w:sz w:val="32"/>
          <w:szCs w:val="32"/>
        </w:rPr>
      </w:pPr>
    </w:p>
    <w:p w:rsidR="005106B5" w:rsidRDefault="005106B5" w:rsidP="002A5E97">
      <w:pPr>
        <w:pStyle w:val="Prrafodelista"/>
        <w:ind w:left="1080"/>
        <w:jc w:val="both"/>
        <w:rPr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539B8C0" wp14:editId="4CE826A3">
            <wp:extent cx="4772025" cy="32206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07" t="35319" r="56551" b="15174"/>
                    <a:stretch/>
                  </pic:blipFill>
                  <pic:spPr bwMode="auto">
                    <a:xfrm>
                      <a:off x="0" y="0"/>
                      <a:ext cx="4779639" cy="322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275" w:rsidRPr="00C14E69" w:rsidRDefault="00CD0275" w:rsidP="00C14E69">
      <w:pPr>
        <w:jc w:val="both"/>
        <w:rPr>
          <w:b/>
          <w:sz w:val="32"/>
          <w:szCs w:val="32"/>
        </w:rPr>
      </w:pPr>
    </w:p>
    <w:p w:rsidR="002A5E97" w:rsidRPr="00701E22" w:rsidRDefault="008A629A" w:rsidP="008A629A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701E22">
        <w:rPr>
          <w:b/>
          <w:sz w:val="32"/>
          <w:szCs w:val="32"/>
        </w:rPr>
        <w:t xml:space="preserve">Formato de control de asistencia: </w:t>
      </w:r>
    </w:p>
    <w:p w:rsidR="00701E22" w:rsidRPr="00C16BF9" w:rsidRDefault="008A629A" w:rsidP="00C16BF9">
      <w:pPr>
        <w:jc w:val="both"/>
        <w:rPr>
          <w:sz w:val="32"/>
          <w:szCs w:val="32"/>
        </w:rPr>
      </w:pPr>
      <w:r w:rsidRPr="00C16BF9">
        <w:rPr>
          <w:sz w:val="32"/>
          <w:szCs w:val="32"/>
        </w:rPr>
        <w:t xml:space="preserve">Registro mediante el cual se lleva la participación y asistencia de cada estudiante en la actividad que decidió realizar, al final de cada cuatrimestre se realiza su entrega para seguimiento y archivo. Cada </w:t>
      </w:r>
      <w:r w:rsidR="00701E22" w:rsidRPr="00C16BF9">
        <w:rPr>
          <w:sz w:val="32"/>
          <w:szCs w:val="32"/>
        </w:rPr>
        <w:t>entrenador, respons</w:t>
      </w:r>
      <w:r w:rsidRPr="00C16BF9">
        <w:rPr>
          <w:sz w:val="32"/>
          <w:szCs w:val="32"/>
        </w:rPr>
        <w:t>able de grupo o evento deberá llevar el debido control de este formato.</w:t>
      </w:r>
    </w:p>
    <w:p w:rsidR="00C14E69" w:rsidRPr="00CD0275" w:rsidRDefault="005106B5" w:rsidP="00CD0275">
      <w:pPr>
        <w:jc w:val="both"/>
        <w:rPr>
          <w:b/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00A5914" wp14:editId="39390B77">
            <wp:extent cx="5257800" cy="3937850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97" t="32602" r="57740" b="13363"/>
                    <a:stretch/>
                  </pic:blipFill>
                  <pic:spPr bwMode="auto">
                    <a:xfrm>
                      <a:off x="0" y="0"/>
                      <a:ext cx="5263540" cy="394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BF9" w:rsidRPr="00BB015A" w:rsidRDefault="00C16BF9" w:rsidP="00BB015A">
      <w:pPr>
        <w:jc w:val="both"/>
        <w:rPr>
          <w:b/>
          <w:sz w:val="32"/>
          <w:szCs w:val="32"/>
        </w:rPr>
      </w:pPr>
    </w:p>
    <w:p w:rsidR="00701E22" w:rsidRDefault="00701E22" w:rsidP="00701E22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701E22">
        <w:rPr>
          <w:b/>
          <w:sz w:val="32"/>
          <w:szCs w:val="32"/>
        </w:rPr>
        <w:t xml:space="preserve">Formato de planeación y reporte de actividades </w:t>
      </w:r>
    </w:p>
    <w:p w:rsidR="00701E22" w:rsidRPr="00C16BF9" w:rsidRDefault="00701E22" w:rsidP="00C16BF9">
      <w:pPr>
        <w:jc w:val="both"/>
        <w:rPr>
          <w:sz w:val="32"/>
          <w:szCs w:val="32"/>
        </w:rPr>
      </w:pPr>
      <w:r w:rsidRPr="00C16BF9">
        <w:rPr>
          <w:sz w:val="32"/>
          <w:szCs w:val="32"/>
        </w:rPr>
        <w:t xml:space="preserve">Documento </w:t>
      </w:r>
      <w:r w:rsidR="00B11131" w:rsidRPr="00C16BF9">
        <w:rPr>
          <w:sz w:val="32"/>
          <w:szCs w:val="32"/>
        </w:rPr>
        <w:t xml:space="preserve">con doble propósito, que utilizan los entrenadores deportivos y los instructores o responsables de grupos artísticos para planear sus actividades mensuales y a su vez realizar reporte del mes anterior inmediato, dicho documento se lo presentan al coordinador y jefe de departamento para su pertinente seguimiento y control. </w:t>
      </w:r>
      <w:r w:rsidRPr="00C16BF9">
        <w:rPr>
          <w:sz w:val="32"/>
          <w:szCs w:val="32"/>
        </w:rPr>
        <w:t xml:space="preserve"> </w:t>
      </w:r>
    </w:p>
    <w:p w:rsidR="00286F9F" w:rsidRDefault="003473A4" w:rsidP="00701E22">
      <w:pPr>
        <w:pStyle w:val="Prrafodelista"/>
        <w:ind w:left="1080"/>
        <w:jc w:val="both"/>
        <w:rPr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1EA01C" wp14:editId="15F1244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091815" cy="20478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3" t="26262" r="23625" b="10344"/>
                    <a:stretch/>
                  </pic:blipFill>
                  <pic:spPr bwMode="auto">
                    <a:xfrm>
                      <a:off x="0" y="0"/>
                      <a:ext cx="309181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275" w:rsidRDefault="00CD0275" w:rsidP="00701E22">
      <w:pPr>
        <w:pStyle w:val="Prrafodelista"/>
        <w:ind w:left="1080"/>
        <w:jc w:val="both"/>
        <w:rPr>
          <w:sz w:val="32"/>
          <w:szCs w:val="32"/>
        </w:rPr>
      </w:pPr>
    </w:p>
    <w:p w:rsidR="00CD0275" w:rsidRDefault="00CD0275" w:rsidP="00701E22">
      <w:pPr>
        <w:pStyle w:val="Prrafodelista"/>
        <w:ind w:left="1080"/>
        <w:jc w:val="both"/>
        <w:rPr>
          <w:sz w:val="32"/>
          <w:szCs w:val="32"/>
        </w:rPr>
      </w:pPr>
    </w:p>
    <w:p w:rsidR="00CD0275" w:rsidRDefault="00CD0275" w:rsidP="00701E22">
      <w:pPr>
        <w:pStyle w:val="Prrafodelista"/>
        <w:ind w:left="1080"/>
        <w:jc w:val="both"/>
        <w:rPr>
          <w:sz w:val="32"/>
          <w:szCs w:val="32"/>
        </w:rPr>
      </w:pPr>
    </w:p>
    <w:p w:rsidR="00CD0275" w:rsidRDefault="00CD0275" w:rsidP="00701E22">
      <w:pPr>
        <w:pStyle w:val="Prrafodelista"/>
        <w:ind w:left="1080"/>
        <w:jc w:val="both"/>
        <w:rPr>
          <w:sz w:val="32"/>
          <w:szCs w:val="32"/>
        </w:rPr>
      </w:pPr>
    </w:p>
    <w:p w:rsidR="002A5E97" w:rsidRPr="00CD0275" w:rsidRDefault="00E47827" w:rsidP="00CD0275">
      <w:pPr>
        <w:jc w:val="both"/>
        <w:rPr>
          <w:b/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340CB339" wp14:editId="66446D0B">
            <wp:simplePos x="0" y="0"/>
            <wp:positionH relativeFrom="margin">
              <wp:posOffset>1453515</wp:posOffset>
            </wp:positionH>
            <wp:positionV relativeFrom="paragraph">
              <wp:posOffset>260985</wp:posOffset>
            </wp:positionV>
            <wp:extent cx="2924175" cy="1811020"/>
            <wp:effectExtent l="38100" t="38100" r="104775" b="9398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4" t="27470" r="22999" b="13061"/>
                    <a:stretch/>
                  </pic:blipFill>
                  <pic:spPr bwMode="auto">
                    <a:xfrm>
                      <a:off x="0" y="0"/>
                      <a:ext cx="2924175" cy="1811020"/>
                    </a:xfrm>
                    <a:prstGeom prst="rect">
                      <a:avLst/>
                    </a:prstGeom>
                    <a:ln w="127000" cap="sq">
                      <a:noFill/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131" w:rsidRPr="00B11131">
        <w:rPr>
          <w:sz w:val="32"/>
          <w:szCs w:val="32"/>
        </w:rPr>
        <w:t xml:space="preserve"> </w:t>
      </w:r>
    </w:p>
    <w:p w:rsidR="002A5E97" w:rsidRPr="00CD0275" w:rsidRDefault="002A5E97" w:rsidP="00CD0275">
      <w:pPr>
        <w:jc w:val="both"/>
        <w:rPr>
          <w:sz w:val="32"/>
          <w:szCs w:val="32"/>
        </w:rPr>
      </w:pPr>
    </w:p>
    <w:p w:rsidR="00223738" w:rsidRPr="00223738" w:rsidRDefault="00223738" w:rsidP="00223738">
      <w:pPr>
        <w:jc w:val="both"/>
        <w:rPr>
          <w:sz w:val="32"/>
          <w:szCs w:val="32"/>
        </w:rPr>
      </w:pPr>
    </w:p>
    <w:p w:rsidR="00917DA7" w:rsidRDefault="00F719EC" w:rsidP="00CC5F8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6E97">
        <w:rPr>
          <w:sz w:val="32"/>
          <w:szCs w:val="32"/>
        </w:rPr>
        <w:t xml:space="preserve">  </w:t>
      </w:r>
      <w:r w:rsidR="007C7DD8">
        <w:rPr>
          <w:sz w:val="32"/>
          <w:szCs w:val="32"/>
        </w:rPr>
        <w:t xml:space="preserve"> </w:t>
      </w:r>
      <w:r w:rsidR="00917DA7">
        <w:rPr>
          <w:sz w:val="32"/>
          <w:szCs w:val="32"/>
        </w:rPr>
        <w:t xml:space="preserve"> </w:t>
      </w:r>
    </w:p>
    <w:p w:rsidR="007C7DD8" w:rsidRPr="00917DA7" w:rsidRDefault="007C7DD8" w:rsidP="00CC5F8A">
      <w:pPr>
        <w:ind w:left="360"/>
        <w:jc w:val="both"/>
        <w:rPr>
          <w:sz w:val="32"/>
          <w:szCs w:val="32"/>
        </w:rPr>
      </w:pPr>
    </w:p>
    <w:p w:rsidR="00091317" w:rsidRDefault="007B0015" w:rsidP="004B0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B0636">
        <w:rPr>
          <w:sz w:val="32"/>
          <w:szCs w:val="32"/>
        </w:rPr>
        <w:t xml:space="preserve"> </w:t>
      </w:r>
    </w:p>
    <w:p w:rsidR="00091317" w:rsidRDefault="00091317" w:rsidP="00091317">
      <w:pPr>
        <w:rPr>
          <w:sz w:val="32"/>
          <w:szCs w:val="3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C87F37" w:rsidTr="00C87F37">
        <w:tc>
          <w:tcPr>
            <w:tcW w:w="2972" w:type="dxa"/>
          </w:tcPr>
          <w:p w:rsidR="00C87F37" w:rsidRPr="00E47827" w:rsidRDefault="00C87F37" w:rsidP="00C87F37">
            <w:pPr>
              <w:jc w:val="center"/>
              <w:rPr>
                <w:b/>
                <w:color w:val="767171" w:themeColor="background2" w:themeShade="80"/>
                <w:sz w:val="32"/>
                <w:szCs w:val="32"/>
              </w:rPr>
            </w:pPr>
            <w:r>
              <w:rPr>
                <w:b/>
                <w:color w:val="767171" w:themeColor="background2" w:themeShade="80"/>
                <w:sz w:val="32"/>
                <w:szCs w:val="32"/>
              </w:rPr>
              <w:t>Elaboró</w:t>
            </w:r>
          </w:p>
        </w:tc>
        <w:tc>
          <w:tcPr>
            <w:tcW w:w="2977" w:type="dxa"/>
          </w:tcPr>
          <w:p w:rsidR="00C87F37" w:rsidRPr="00E47827" w:rsidRDefault="00C87F37" w:rsidP="00C87F37">
            <w:pPr>
              <w:jc w:val="center"/>
              <w:rPr>
                <w:b/>
                <w:color w:val="767171" w:themeColor="background2" w:themeShade="80"/>
                <w:sz w:val="32"/>
                <w:szCs w:val="32"/>
              </w:rPr>
            </w:pPr>
            <w:r>
              <w:rPr>
                <w:b/>
                <w:color w:val="767171" w:themeColor="background2" w:themeShade="80"/>
                <w:sz w:val="32"/>
                <w:szCs w:val="32"/>
              </w:rPr>
              <w:t>Revisó</w:t>
            </w:r>
          </w:p>
        </w:tc>
        <w:tc>
          <w:tcPr>
            <w:tcW w:w="3118" w:type="dxa"/>
          </w:tcPr>
          <w:p w:rsidR="00C87F37" w:rsidRPr="00E47827" w:rsidRDefault="00C87F37" w:rsidP="00C87F37">
            <w:pPr>
              <w:jc w:val="center"/>
              <w:rPr>
                <w:b/>
                <w:color w:val="767171" w:themeColor="background2" w:themeShade="80"/>
                <w:sz w:val="32"/>
                <w:szCs w:val="32"/>
              </w:rPr>
            </w:pPr>
            <w:r>
              <w:rPr>
                <w:b/>
                <w:color w:val="767171" w:themeColor="background2" w:themeShade="80"/>
                <w:sz w:val="32"/>
                <w:szCs w:val="32"/>
              </w:rPr>
              <w:t>Autorizó</w:t>
            </w:r>
          </w:p>
        </w:tc>
      </w:tr>
      <w:tr w:rsidR="00C87F37" w:rsidTr="00C87F37">
        <w:tc>
          <w:tcPr>
            <w:tcW w:w="2972" w:type="dxa"/>
          </w:tcPr>
          <w:p w:rsidR="00C87F37" w:rsidRPr="00E47827" w:rsidRDefault="00C87F37" w:rsidP="00091317">
            <w:pPr>
              <w:rPr>
                <w:b/>
                <w:color w:val="767171" w:themeColor="background2" w:themeShade="80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7F37" w:rsidRDefault="00C87F37" w:rsidP="00091317">
            <w:pPr>
              <w:rPr>
                <w:b/>
                <w:color w:val="767171" w:themeColor="background2" w:themeShade="80"/>
                <w:sz w:val="32"/>
                <w:szCs w:val="32"/>
              </w:rPr>
            </w:pPr>
          </w:p>
          <w:p w:rsidR="00C87F37" w:rsidRPr="00E47827" w:rsidRDefault="00C87F37" w:rsidP="00091317">
            <w:pPr>
              <w:rPr>
                <w:b/>
                <w:color w:val="767171" w:themeColor="background2" w:themeShade="8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7F37" w:rsidRPr="00E47827" w:rsidRDefault="00C87F37" w:rsidP="00091317">
            <w:pPr>
              <w:rPr>
                <w:b/>
                <w:color w:val="767171" w:themeColor="background2" w:themeShade="80"/>
                <w:sz w:val="32"/>
                <w:szCs w:val="32"/>
              </w:rPr>
            </w:pPr>
          </w:p>
        </w:tc>
      </w:tr>
    </w:tbl>
    <w:p w:rsidR="00091317" w:rsidRDefault="00091317" w:rsidP="00091317">
      <w:pPr>
        <w:rPr>
          <w:sz w:val="32"/>
          <w:szCs w:val="32"/>
        </w:rPr>
      </w:pPr>
    </w:p>
    <w:sectPr w:rsidR="00091317" w:rsidSect="00C16BF9">
      <w:headerReference w:type="default" r:id="rId13"/>
      <w:pgSz w:w="12240" w:h="15840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6B" w:rsidRDefault="0070306B" w:rsidP="000F30FB">
      <w:pPr>
        <w:spacing w:after="0" w:line="240" w:lineRule="auto"/>
      </w:pPr>
      <w:r>
        <w:separator/>
      </w:r>
    </w:p>
  </w:endnote>
  <w:endnote w:type="continuationSeparator" w:id="0">
    <w:p w:rsidR="0070306B" w:rsidRDefault="0070306B" w:rsidP="000F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6B" w:rsidRDefault="0070306B" w:rsidP="000F30FB">
      <w:pPr>
        <w:spacing w:after="0" w:line="240" w:lineRule="auto"/>
      </w:pPr>
      <w:r>
        <w:separator/>
      </w:r>
    </w:p>
  </w:footnote>
  <w:footnote w:type="continuationSeparator" w:id="0">
    <w:p w:rsidR="0070306B" w:rsidRDefault="0070306B" w:rsidP="000F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21"/>
      <w:tblW w:w="10269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4E0" w:firstRow="1" w:lastRow="1" w:firstColumn="1" w:lastColumn="0" w:noHBand="0" w:noVBand="1"/>
    </w:tblPr>
    <w:tblGrid>
      <w:gridCol w:w="2337"/>
      <w:gridCol w:w="5097"/>
      <w:gridCol w:w="2835"/>
    </w:tblGrid>
    <w:tr w:rsidR="00E52F1B" w:rsidRPr="005632AD" w:rsidTr="00882F5E">
      <w:trPr>
        <w:cantSplit/>
        <w:trHeight w:val="423"/>
      </w:trPr>
      <w:tc>
        <w:tcPr>
          <w:tcW w:w="2337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5632AD" w:rsidRDefault="00E52F1B" w:rsidP="00E52F1B">
          <w:pPr>
            <w:jc w:val="center"/>
            <w:rPr>
              <w:rFonts w:ascii="Arial Narrow" w:hAnsi="Arial Narrow"/>
              <w:sz w:val="2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2B6BC04" wp14:editId="5757B972">
                <wp:extent cx="1409700" cy="685800"/>
                <wp:effectExtent l="0" t="0" r="0" b="0"/>
                <wp:docPr id="3" name="Imagen 3" descr="universidad_tecnolog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_tecnolog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5632AD" w:rsidRDefault="00E52F1B" w:rsidP="00E52F1B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5632AD">
            <w:rPr>
              <w:rFonts w:ascii="Arial Narrow" w:hAnsi="Arial Narrow"/>
              <w:b/>
            </w:rPr>
            <w:t>Sistema de Gestión de la Calidad</w:t>
          </w:r>
        </w:p>
      </w:tc>
      <w:tc>
        <w:tcPr>
          <w:tcW w:w="283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E54414" w:rsidRDefault="00E52F1B" w:rsidP="00E52F1B">
          <w:pPr>
            <w:rPr>
              <w:rFonts w:ascii="Arial Narrow" w:hAnsi="Arial Narrow" w:cs="Arial"/>
              <w:sz w:val="20"/>
            </w:rPr>
          </w:pPr>
          <w:r w:rsidRPr="00E54414">
            <w:rPr>
              <w:rFonts w:ascii="Arial Narrow" w:hAnsi="Arial Narrow" w:cs="Arial"/>
              <w:szCs w:val="18"/>
            </w:rPr>
            <w:t xml:space="preserve">Fecha </w:t>
          </w:r>
          <w:r>
            <w:rPr>
              <w:rFonts w:ascii="Arial Narrow" w:hAnsi="Arial Narrow" w:cs="Arial"/>
              <w:szCs w:val="18"/>
            </w:rPr>
            <w:t xml:space="preserve">de </w:t>
          </w:r>
          <w:r w:rsidRPr="00E54414">
            <w:rPr>
              <w:rFonts w:ascii="Arial Narrow" w:hAnsi="Arial Narrow" w:cs="Arial"/>
              <w:szCs w:val="18"/>
            </w:rPr>
            <w:t xml:space="preserve">Emisión:                  </w:t>
          </w:r>
          <w:r>
            <w:rPr>
              <w:rFonts w:ascii="Arial Narrow" w:hAnsi="Arial Narrow" w:cs="Arial"/>
              <w:szCs w:val="18"/>
            </w:rPr>
            <w:t xml:space="preserve"> </w:t>
          </w:r>
          <w:r w:rsidRPr="00E54414">
            <w:rPr>
              <w:rFonts w:ascii="Arial Narrow" w:hAnsi="Arial Narrow" w:cs="Arial"/>
              <w:szCs w:val="18"/>
            </w:rPr>
            <w:t xml:space="preserve"> </w:t>
          </w:r>
          <w:r>
            <w:rPr>
              <w:rFonts w:ascii="Arial Narrow" w:hAnsi="Arial Narrow" w:cs="Arial"/>
              <w:szCs w:val="18"/>
            </w:rPr>
            <w:t>04</w:t>
          </w:r>
          <w:r w:rsidRPr="00E54414">
            <w:rPr>
              <w:rFonts w:ascii="Arial Narrow" w:hAnsi="Arial Narrow" w:cs="Arial"/>
              <w:szCs w:val="18"/>
            </w:rPr>
            <w:t xml:space="preserve"> de </w:t>
          </w:r>
          <w:r>
            <w:rPr>
              <w:rFonts w:ascii="Arial Narrow" w:hAnsi="Arial Narrow" w:cs="Arial"/>
              <w:szCs w:val="18"/>
            </w:rPr>
            <w:t>agosto, 2015</w:t>
          </w:r>
        </w:p>
      </w:tc>
    </w:tr>
    <w:tr w:rsidR="00E52F1B" w:rsidRPr="005632AD" w:rsidTr="00882F5E">
      <w:trPr>
        <w:cantSplit/>
        <w:trHeight w:val="512"/>
      </w:trPr>
      <w:tc>
        <w:tcPr>
          <w:tcW w:w="2337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5632AD" w:rsidRDefault="00E52F1B" w:rsidP="00E52F1B">
          <w:pPr>
            <w:rPr>
              <w:rFonts w:ascii="Arial Narrow" w:hAnsi="Arial Narrow"/>
              <w:sz w:val="20"/>
            </w:rPr>
          </w:pPr>
        </w:p>
      </w:tc>
      <w:tc>
        <w:tcPr>
          <w:tcW w:w="5097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5632AD" w:rsidRDefault="00E52F1B" w:rsidP="00E52F1B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36"/>
              <w:szCs w:val="36"/>
            </w:rPr>
            <w:t xml:space="preserve">Instrucciones de Trabajo </w:t>
          </w:r>
        </w:p>
      </w:tc>
      <w:tc>
        <w:tcPr>
          <w:tcW w:w="2835" w:type="dxa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vAlign w:val="center"/>
        </w:tcPr>
        <w:p w:rsidR="00E52F1B" w:rsidRPr="005632AD" w:rsidRDefault="00E52F1B" w:rsidP="00E52F1B">
          <w:pPr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Cs w:val="18"/>
            </w:rPr>
            <w:t>Revisión: 00</w:t>
          </w:r>
        </w:p>
      </w:tc>
    </w:tr>
    <w:tr w:rsidR="00E52F1B" w:rsidRPr="005632AD" w:rsidTr="00882F5E">
      <w:trPr>
        <w:cantSplit/>
        <w:trHeight w:val="484"/>
      </w:trPr>
      <w:tc>
        <w:tcPr>
          <w:tcW w:w="2337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5632AD" w:rsidRDefault="00E52F1B" w:rsidP="00E52F1B">
          <w:pPr>
            <w:rPr>
              <w:rFonts w:ascii="Arial Narrow" w:hAnsi="Arial Narrow"/>
              <w:sz w:val="20"/>
            </w:rPr>
          </w:pPr>
        </w:p>
      </w:tc>
      <w:tc>
        <w:tcPr>
          <w:tcW w:w="5097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5632AD" w:rsidRDefault="00E52F1B" w:rsidP="00E52F1B">
          <w:pPr>
            <w:rPr>
              <w:rFonts w:ascii="Arial Narrow" w:hAnsi="Arial Narrow" w:cs="Arial"/>
              <w:b/>
            </w:rPr>
          </w:pPr>
        </w:p>
      </w:tc>
      <w:tc>
        <w:tcPr>
          <w:tcW w:w="283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E52F1B" w:rsidRPr="005632AD" w:rsidRDefault="00E52F1B" w:rsidP="00E52F1B">
          <w:pPr>
            <w:rPr>
              <w:rFonts w:ascii="Arial Narrow" w:hAnsi="Arial Narrow" w:cs="Arial"/>
              <w:b/>
              <w:sz w:val="18"/>
              <w:szCs w:val="18"/>
            </w:rPr>
          </w:pPr>
          <w:r w:rsidRPr="005632AD">
            <w:rPr>
              <w:rFonts w:ascii="Arial Narrow" w:hAnsi="Arial Narrow" w:cs="Arial"/>
              <w:szCs w:val="18"/>
            </w:rPr>
            <w:t>Página</w:t>
          </w:r>
          <w:r w:rsidRPr="005632AD">
            <w:rPr>
              <w:rFonts w:ascii="Arial Narrow" w:hAnsi="Arial Narrow" w:cs="Arial"/>
              <w:b/>
              <w:szCs w:val="18"/>
            </w:rPr>
            <w:t xml:space="preserve"> </w:t>
          </w:r>
          <w:r w:rsidRPr="005632AD">
            <w:rPr>
              <w:rFonts w:ascii="Arial Narrow" w:hAnsi="Arial Narrow" w:cs="Arial"/>
              <w:b/>
              <w:szCs w:val="18"/>
            </w:rPr>
            <w:fldChar w:fldCharType="begin"/>
          </w:r>
          <w:r w:rsidRPr="005632AD">
            <w:rPr>
              <w:rFonts w:ascii="Arial Narrow" w:hAnsi="Arial Narrow" w:cs="Arial"/>
              <w:b/>
              <w:szCs w:val="18"/>
            </w:rPr>
            <w:instrText xml:space="preserve"> PAGE </w:instrText>
          </w:r>
          <w:r w:rsidRPr="005632AD">
            <w:rPr>
              <w:rFonts w:ascii="Arial Narrow" w:hAnsi="Arial Narrow" w:cs="Arial"/>
              <w:b/>
              <w:szCs w:val="18"/>
            </w:rPr>
            <w:fldChar w:fldCharType="separate"/>
          </w:r>
          <w:r w:rsidR="006422E5">
            <w:rPr>
              <w:rFonts w:ascii="Arial Narrow" w:hAnsi="Arial Narrow" w:cs="Arial"/>
              <w:b/>
              <w:noProof/>
              <w:szCs w:val="18"/>
            </w:rPr>
            <w:t>1</w:t>
          </w:r>
          <w:r w:rsidRPr="005632AD">
            <w:rPr>
              <w:rFonts w:ascii="Arial Narrow" w:hAnsi="Arial Narrow" w:cs="Arial"/>
              <w:b/>
              <w:szCs w:val="18"/>
            </w:rPr>
            <w:fldChar w:fldCharType="end"/>
          </w:r>
          <w:r w:rsidRPr="005632AD">
            <w:rPr>
              <w:rFonts w:ascii="Arial Narrow" w:hAnsi="Arial Narrow" w:cs="Arial"/>
              <w:b/>
              <w:szCs w:val="18"/>
            </w:rPr>
            <w:t xml:space="preserve"> </w:t>
          </w:r>
          <w:r w:rsidRPr="005632AD">
            <w:rPr>
              <w:rFonts w:ascii="Arial Narrow" w:hAnsi="Arial Narrow" w:cs="Arial"/>
              <w:szCs w:val="18"/>
            </w:rPr>
            <w:t>de</w:t>
          </w:r>
          <w:r w:rsidRPr="005632AD">
            <w:rPr>
              <w:rFonts w:ascii="Arial Narrow" w:hAnsi="Arial Narrow" w:cs="Arial"/>
              <w:b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Cs w:val="18"/>
            </w:rPr>
            <w:t>7</w:t>
          </w:r>
        </w:p>
      </w:tc>
    </w:tr>
  </w:tbl>
  <w:p w:rsidR="00BB015A" w:rsidRPr="0015321D" w:rsidRDefault="00BB015A" w:rsidP="00E52F1B">
    <w:pPr>
      <w:pStyle w:val="Sinespaciado"/>
      <w:jc w:val="center"/>
      <w:rPr>
        <w:b/>
        <w:sz w:val="18"/>
        <w:szCs w:val="18"/>
      </w:rPr>
    </w:pPr>
  </w:p>
  <w:p w:rsidR="000F30FB" w:rsidRDefault="000F30FB" w:rsidP="003875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6A4"/>
    <w:multiLevelType w:val="hybridMultilevel"/>
    <w:tmpl w:val="EE76E8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A3"/>
    <w:multiLevelType w:val="hybridMultilevel"/>
    <w:tmpl w:val="B80AD2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7ABD"/>
    <w:multiLevelType w:val="hybridMultilevel"/>
    <w:tmpl w:val="F7540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66233"/>
    <w:multiLevelType w:val="hybridMultilevel"/>
    <w:tmpl w:val="397813F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B267E7"/>
    <w:multiLevelType w:val="hybridMultilevel"/>
    <w:tmpl w:val="21B458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35"/>
    <w:rsid w:val="0006266E"/>
    <w:rsid w:val="00091317"/>
    <w:rsid w:val="000A1D13"/>
    <w:rsid w:val="000D25C5"/>
    <w:rsid w:val="000E1094"/>
    <w:rsid w:val="000F30FB"/>
    <w:rsid w:val="0015321D"/>
    <w:rsid w:val="00223738"/>
    <w:rsid w:val="00243177"/>
    <w:rsid w:val="00270741"/>
    <w:rsid w:val="00286F9F"/>
    <w:rsid w:val="002A5E97"/>
    <w:rsid w:val="003473A4"/>
    <w:rsid w:val="0038755B"/>
    <w:rsid w:val="004357ED"/>
    <w:rsid w:val="00436128"/>
    <w:rsid w:val="00443319"/>
    <w:rsid w:val="004B0636"/>
    <w:rsid w:val="005106B5"/>
    <w:rsid w:val="006422E5"/>
    <w:rsid w:val="0068080F"/>
    <w:rsid w:val="00682760"/>
    <w:rsid w:val="00701E22"/>
    <w:rsid w:val="0070306B"/>
    <w:rsid w:val="007044CA"/>
    <w:rsid w:val="00714874"/>
    <w:rsid w:val="007B0015"/>
    <w:rsid w:val="007C7DD8"/>
    <w:rsid w:val="007E6528"/>
    <w:rsid w:val="008A629A"/>
    <w:rsid w:val="00917DA7"/>
    <w:rsid w:val="009612A9"/>
    <w:rsid w:val="00965792"/>
    <w:rsid w:val="00985FD4"/>
    <w:rsid w:val="009F42AC"/>
    <w:rsid w:val="00A55FDA"/>
    <w:rsid w:val="00A71C35"/>
    <w:rsid w:val="00A84A7D"/>
    <w:rsid w:val="00AF3AC3"/>
    <w:rsid w:val="00B11131"/>
    <w:rsid w:val="00BB015A"/>
    <w:rsid w:val="00BC5B3D"/>
    <w:rsid w:val="00BC7524"/>
    <w:rsid w:val="00BD6E97"/>
    <w:rsid w:val="00C14E69"/>
    <w:rsid w:val="00C16BF9"/>
    <w:rsid w:val="00C41609"/>
    <w:rsid w:val="00C87F37"/>
    <w:rsid w:val="00CC5F8A"/>
    <w:rsid w:val="00CD0275"/>
    <w:rsid w:val="00D53FE3"/>
    <w:rsid w:val="00DB1D34"/>
    <w:rsid w:val="00DB231A"/>
    <w:rsid w:val="00E47827"/>
    <w:rsid w:val="00E52F1B"/>
    <w:rsid w:val="00E72EAC"/>
    <w:rsid w:val="00E814AF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0FB"/>
  </w:style>
  <w:style w:type="paragraph" w:styleId="Piedepgina">
    <w:name w:val="footer"/>
    <w:basedOn w:val="Normal"/>
    <w:link w:val="PiedepginaCar"/>
    <w:uiPriority w:val="99"/>
    <w:unhideWhenUsed/>
    <w:rsid w:val="000F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0FB"/>
  </w:style>
  <w:style w:type="paragraph" w:styleId="Sinespaciado">
    <w:name w:val="No Spacing"/>
    <w:uiPriority w:val="1"/>
    <w:qFormat/>
    <w:rsid w:val="00286F9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5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0FB"/>
  </w:style>
  <w:style w:type="paragraph" w:styleId="Piedepgina">
    <w:name w:val="footer"/>
    <w:basedOn w:val="Normal"/>
    <w:link w:val="PiedepginaCar"/>
    <w:uiPriority w:val="99"/>
    <w:unhideWhenUsed/>
    <w:rsid w:val="000F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0FB"/>
  </w:style>
  <w:style w:type="paragraph" w:styleId="Sinespaciado">
    <w:name w:val="No Spacing"/>
    <w:uiPriority w:val="1"/>
    <w:qFormat/>
    <w:rsid w:val="00286F9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5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Hiran Torres Villanueva</dc:creator>
  <cp:lastModifiedBy>portatil</cp:lastModifiedBy>
  <cp:revision>2</cp:revision>
  <cp:lastPrinted>2015-08-04T00:35:00Z</cp:lastPrinted>
  <dcterms:created xsi:type="dcterms:W3CDTF">2018-04-25T16:41:00Z</dcterms:created>
  <dcterms:modified xsi:type="dcterms:W3CDTF">2018-04-25T16:41:00Z</dcterms:modified>
</cp:coreProperties>
</file>